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b w:val="1"/>
          <w:sz w:val="32"/>
          <w:szCs w:val="32"/>
          <w:u w:val="single"/>
        </w:rPr>
      </w:pPr>
      <w:r w:rsidDel="00000000" w:rsidR="00000000" w:rsidRPr="00000000">
        <w:rPr>
          <w:b w:val="1"/>
          <w:sz w:val="32"/>
          <w:szCs w:val="32"/>
          <w:u w:val="single"/>
          <w:rtl w:val="0"/>
        </w:rPr>
        <w:t xml:space="preserve">Religious Studies 25</w:t>
      </w:r>
    </w:p>
    <w:p w:rsidR="00000000" w:rsidDel="00000000" w:rsidP="00000000" w:rsidRDefault="00000000" w:rsidRPr="00000000" w14:paraId="00000001">
      <w:pPr>
        <w:spacing w:after="0" w:lineRule="auto"/>
        <w:contextualSpacing w:val="0"/>
        <w:jc w:val="center"/>
        <w:rPr>
          <w:b w:val="1"/>
          <w:sz w:val="32"/>
          <w:szCs w:val="32"/>
          <w:u w:val="single"/>
        </w:rPr>
      </w:pPr>
      <w:r w:rsidDel="00000000" w:rsidR="00000000" w:rsidRPr="00000000">
        <w:rPr>
          <w:b w:val="1"/>
          <w:sz w:val="32"/>
          <w:szCs w:val="32"/>
          <w:u w:val="single"/>
          <w:rtl w:val="0"/>
        </w:rPr>
        <w:t xml:space="preserve">Jesus Christ: God’s Gift of Salvation</w:t>
      </w:r>
    </w:p>
    <w:p w:rsidR="00000000" w:rsidDel="00000000" w:rsidP="00000000" w:rsidRDefault="00000000" w:rsidRPr="00000000" w14:paraId="00000002">
      <w:pPr>
        <w:spacing w:after="0" w:lineRule="auto"/>
        <w:contextualSpacing w:val="0"/>
        <w:jc w:val="center"/>
        <w:rPr>
          <w:b w:val="1"/>
          <w:sz w:val="32"/>
          <w:szCs w:val="32"/>
          <w:u w:val="single"/>
        </w:rPr>
      </w:pPr>
      <w:r w:rsidDel="00000000" w:rsidR="00000000" w:rsidRPr="00000000">
        <w:rPr>
          <w:rtl w:val="0"/>
        </w:rPr>
      </w:r>
    </w:p>
    <w:p w:rsidR="00000000" w:rsidDel="00000000" w:rsidP="00000000" w:rsidRDefault="00000000" w:rsidRPr="00000000" w14:paraId="00000003">
      <w:pPr>
        <w:spacing w:after="120" w:lineRule="auto"/>
        <w:contextualSpacing w:val="0"/>
        <w:rPr>
          <w:b w:val="1"/>
          <w:sz w:val="28"/>
          <w:szCs w:val="28"/>
        </w:rPr>
      </w:pPr>
      <w:r w:rsidDel="00000000" w:rsidR="00000000" w:rsidRPr="00000000">
        <w:rPr>
          <w:b w:val="1"/>
          <w:sz w:val="28"/>
          <w:szCs w:val="28"/>
          <w:rtl w:val="0"/>
        </w:rPr>
        <w:t xml:space="preserve">Mr. Allison</w:t>
        <w:tab/>
        <w:tab/>
        <w:tab/>
        <w:t xml:space="preserve">                 </w:t>
        <w:tab/>
        <w:tab/>
        <w:t xml:space="preserve">   shawnallison</w:t>
      </w:r>
      <w:hyperlink r:id="rId6">
        <w:r w:rsidDel="00000000" w:rsidR="00000000" w:rsidRPr="00000000">
          <w:rPr>
            <w:b w:val="1"/>
            <w:color w:val="0000ff"/>
            <w:sz w:val="28"/>
            <w:szCs w:val="28"/>
            <w:u w:val="single"/>
            <w:rtl w:val="0"/>
          </w:rPr>
          <w:t xml:space="preserve">@gpcsd.ca</w:t>
        </w:r>
      </w:hyperlink>
      <w:r w:rsidDel="00000000" w:rsidR="00000000" w:rsidRPr="00000000">
        <w:rPr>
          <w:rtl w:val="0"/>
        </w:rPr>
      </w:r>
    </w:p>
    <w:p w:rsidR="00000000" w:rsidDel="00000000" w:rsidP="00000000" w:rsidRDefault="00000000" w:rsidRPr="00000000" w14:paraId="00000004">
      <w:pPr>
        <w:spacing w:after="120" w:lineRule="auto"/>
        <w:contextualSpacing w:val="0"/>
        <w:rPr>
          <w:b w:val="1"/>
          <w:sz w:val="28"/>
          <w:szCs w:val="28"/>
        </w:rPr>
      </w:pPr>
      <w:r w:rsidDel="00000000" w:rsidR="00000000" w:rsidRPr="00000000">
        <w:rPr>
          <w:rtl w:val="0"/>
        </w:rPr>
      </w:r>
    </w:p>
    <w:p w:rsidR="00000000" w:rsidDel="00000000" w:rsidP="00000000" w:rsidRDefault="00000000" w:rsidRPr="00000000" w14:paraId="00000005">
      <w:pPr>
        <w:shd w:fill="d9d9d9" w:val="clear"/>
        <w:spacing w:after="120" w:lineRule="auto"/>
        <w:contextualSpacing w:val="0"/>
        <w:rPr/>
      </w:pPr>
      <w:r w:rsidDel="00000000" w:rsidR="00000000" w:rsidRPr="00000000">
        <w:rPr>
          <w:b w:val="1"/>
          <w:rtl w:val="0"/>
        </w:rPr>
        <w:t xml:space="preserve">Overview</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God’s gift of Salvation invites students to deepen their relationship with Jesus through a study of Scripture. Students will explore the Jewish historical, religious, and cultural world into which the Messiah was born and the Old Testament covenant fulfilled. Using the Gospels as primary sources, the course explores Jesus’ birth, early life, and ministry; his preaching of the Kingdom of God; his special teachings, particularly the parables; and his miracles. It then focuses on the scriptural accounts of his death and Resurrection, and the Ascension, and their central significance for the church’s understanding of Jesus as the Christ, the Son of God.</w:t>
      </w:r>
    </w:p>
    <w:p w:rsidR="00000000" w:rsidDel="00000000" w:rsidP="00000000" w:rsidRDefault="00000000" w:rsidRPr="00000000" w14:paraId="00000007">
      <w:pPr>
        <w:shd w:fill="d9d9d9" w:val="clear"/>
        <w:spacing w:after="120" w:lineRule="auto"/>
        <w:contextualSpacing w:val="0"/>
        <w:rPr/>
      </w:pPr>
      <w:r w:rsidDel="00000000" w:rsidR="00000000" w:rsidRPr="00000000">
        <w:rPr>
          <w:b w:val="1"/>
          <w:rtl w:val="0"/>
        </w:rPr>
        <w:t xml:space="preserve">School Philosophy</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The study of the Catholic Faith is a mandate of our school culture.  Students are reminded that they are responsible to participate and complete religious studies instructions at all grade levels. To participate in the graduation ceremony at St. Mary’s you must have completed Religious Studies 35.</w:t>
      </w:r>
    </w:p>
    <w:p w:rsidR="00000000" w:rsidDel="00000000" w:rsidP="00000000" w:rsidRDefault="00000000" w:rsidRPr="00000000" w14:paraId="00000009">
      <w:pPr>
        <w:shd w:fill="d9d9d9" w:val="clear"/>
        <w:spacing w:after="120" w:lineRule="auto"/>
        <w:contextualSpacing w:val="0"/>
        <w:rPr>
          <w:b w:val="1"/>
        </w:rPr>
      </w:pPr>
      <w:r w:rsidDel="00000000" w:rsidR="00000000" w:rsidRPr="00000000">
        <w:rPr>
          <w:rFonts w:ascii="Times New Roman" w:cs="Times New Roman" w:eastAsia="Times New Roman" w:hAnsi="Times New Roman"/>
          <w:b w:val="1"/>
          <w:color w:val="000000"/>
          <w:rtl w:val="0"/>
        </w:rPr>
        <w:t xml:space="preserve">Learning Outcomes and Units of Study</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360" w:lineRule="auto"/>
        <w:ind w:left="1080" w:right="34"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Scripture and Tradition as the primary sources of Christian belief.</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76" w:lineRule="auto"/>
        <w:ind w:left="1080" w:right="34"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Explore the history of Judaism as a foundation of Christianity while demonstrating respect, empathy and compassion for the history of the Jewish people.</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76" w:lineRule="auto"/>
        <w:ind w:left="1080" w:right="34"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know the Christian response to Jesus’ question “Who do people say I am?”</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76" w:lineRule="auto"/>
        <w:ind w:left="1080" w:right="34"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implications of the teachings and ministry of Jesus.</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76" w:lineRule="auto"/>
        <w:ind w:left="1080" w:right="34"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Explore salvation doctrine of other World Religions.</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080" w:right="34"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ways in which contemporary Christians cooperate in bringing about the Reign of God.</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080" w:right="34"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Explore the many ways Catholics pray using Scripture.</w:t>
      </w:r>
    </w:p>
    <w:p w:rsidR="00000000" w:rsidDel="00000000" w:rsidP="00000000" w:rsidRDefault="00000000" w:rsidRPr="00000000" w14:paraId="00000011">
      <w:pPr>
        <w:shd w:fill="d9d9d9" w:val="clear"/>
        <w:spacing w:after="120" w:lineRule="auto"/>
        <w:contextualSpacing w:val="0"/>
        <w:rPr>
          <w:b w:val="1"/>
        </w:rPr>
      </w:pPr>
      <w:r w:rsidDel="00000000" w:rsidR="00000000" w:rsidRPr="00000000">
        <w:rPr>
          <w:rFonts w:ascii="Times New Roman" w:cs="Times New Roman" w:eastAsia="Times New Roman" w:hAnsi="Times New Roman"/>
          <w:b w:val="1"/>
          <w:color w:val="000000"/>
          <w:rtl w:val="0"/>
        </w:rPr>
        <w:t xml:space="preserve">Community Service</w:t>
      </w: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must complete a 10 hour service project. It is strongly encouraged to become Christian citizens in our community students need to be involved serving others.  St. Mary’s offers many opportunities to earn these services hours and students are encouraged to get involved, however, any volunteering in service of others is welcomed.</w:t>
      </w:r>
    </w:p>
    <w:p w:rsidR="00000000" w:rsidDel="00000000" w:rsidP="00000000" w:rsidRDefault="00000000" w:rsidRPr="00000000" w14:paraId="00000013">
      <w:pPr>
        <w:shd w:fill="d9d9d9" w:val="clear"/>
        <w:spacing w:after="120" w:lineRule="auto"/>
        <w:contextualSpacing w:val="0"/>
        <w:rPr>
          <w:b w:val="1"/>
        </w:rPr>
      </w:pPr>
      <w:r w:rsidDel="00000000" w:rsidR="00000000" w:rsidRPr="00000000">
        <w:rPr>
          <w:rFonts w:ascii="Times New Roman" w:cs="Times New Roman" w:eastAsia="Times New Roman" w:hAnsi="Times New Roman"/>
          <w:b w:val="1"/>
          <w:color w:val="000000"/>
          <w:rtl w:val="0"/>
        </w:rPr>
        <w:t xml:space="preserve">Authorized Learning Resources</w:t>
      </w:r>
      <w:r w:rsidDel="00000000" w:rsidR="00000000" w:rsidRPr="00000000">
        <w:rPr>
          <w:rtl w:val="0"/>
        </w:rPr>
      </w:r>
    </w:p>
    <w:p w:rsidR="00000000" w:rsidDel="00000000" w:rsidP="00000000" w:rsidRDefault="00000000" w:rsidRPr="00000000" w14:paraId="00000014">
      <w:pPr>
        <w:tabs>
          <w:tab w:val="left" w:pos="567"/>
        </w:tabs>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  </w:t>
      </w:r>
      <w:r w:rsidDel="00000000" w:rsidR="00000000" w:rsidRPr="00000000">
        <w:rPr>
          <w:rFonts w:ascii="Times New Roman" w:cs="Times New Roman" w:eastAsia="Times New Roman" w:hAnsi="Times New Roman"/>
          <w:sz w:val="24"/>
          <w:szCs w:val="24"/>
          <w:rtl w:val="0"/>
        </w:rPr>
        <w:tab/>
        <w:t xml:space="preserve">  Bible</w:t>
      </w:r>
    </w:p>
    <w:p w:rsidR="00000000" w:rsidDel="00000000" w:rsidP="00000000" w:rsidRDefault="00000000" w:rsidRPr="00000000" w14:paraId="00000015">
      <w:pPr>
        <w:tabs>
          <w:tab w:val="left" w:pos="567"/>
        </w:tabs>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hd w:fill="d9d9d9" w:val="clear"/>
        <w:spacing w:after="120" w:lineRule="auto"/>
        <w:contextualSpacing w:val="0"/>
        <w:rPr>
          <w:b w:val="1"/>
        </w:rPr>
      </w:pPr>
      <w:r w:rsidDel="00000000" w:rsidR="00000000" w:rsidRPr="00000000">
        <w:rPr>
          <w:rFonts w:ascii="Times New Roman" w:cs="Times New Roman" w:eastAsia="Times New Roman" w:hAnsi="Times New Roman"/>
          <w:b w:val="1"/>
          <w:color w:val="000000"/>
          <w:rtl w:val="0"/>
        </w:rPr>
        <w:t xml:space="preserve">Final Assessment</w:t>
      </w:r>
      <w:r w:rsidDel="00000000" w:rsidR="00000000" w:rsidRPr="00000000">
        <w:rPr>
          <w:rtl w:val="0"/>
        </w:rPr>
      </w:r>
    </w:p>
    <w:p w:rsidR="00000000" w:rsidDel="00000000" w:rsidP="00000000" w:rsidRDefault="00000000" w:rsidRPr="00000000" w14:paraId="0000001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final assessments are due on or before the last day of classes.  NO EXCEPTIONS! No outstanding work will be accepted after the last day of classes!</w:t>
      </w:r>
    </w:p>
    <w:p w:rsidR="00000000" w:rsidDel="00000000" w:rsidP="00000000" w:rsidRDefault="00000000" w:rsidRPr="00000000" w14:paraId="0000001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tabs>
          <w:tab w:val="left" w:pos="567"/>
        </w:tabs>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hd w:fill="d9d9d9" w:val="clear"/>
        <w:spacing w:after="120" w:lineRule="auto"/>
        <w:contextualSpacing w:val="0"/>
        <w:rPr>
          <w:b w:val="1"/>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Assessment of Course</w:t>
        <w:tab/>
        <w:tab/>
        <w:tab/>
        <w:tab/>
        <w:tab/>
        <w:t xml:space="preserve">Final assessment</w:t>
      </w:r>
      <w:r w:rsidDel="00000000" w:rsidR="00000000" w:rsidRPr="00000000">
        <w:rPr>
          <w:rtl w:val="0"/>
        </w:rPr>
      </w:r>
    </w:p>
    <w:p w:rsidR="00000000" w:rsidDel="00000000" w:rsidP="00000000" w:rsidRDefault="00000000" w:rsidRPr="00000000" w14:paraId="0000001B">
      <w:pPr>
        <w:tabs>
          <w:tab w:val="left" w:pos="567"/>
        </w:tabs>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2679700</wp:posOffset>
                </wp:positionH>
                <wp:positionV relativeFrom="paragraph">
                  <wp:posOffset>114300</wp:posOffset>
                </wp:positionV>
                <wp:extent cx="12700" cy="933450"/>
                <wp:effectExtent b="0" l="0" r="0" t="0"/>
                <wp:wrapNone/>
                <wp:docPr id="1" name=""/>
                <a:graphic>
                  <a:graphicData uri="http://schemas.microsoft.com/office/word/2010/wordprocessingShape">
                    <wps:wsp>
                      <wps:cNvCnPr/>
                      <wps:spPr>
                        <a:xfrm>
                          <a:off x="5346000" y="3313275"/>
                          <a:ext cx="0" cy="93345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2679700</wp:posOffset>
                </wp:positionH>
                <wp:positionV relativeFrom="paragraph">
                  <wp:posOffset>114300</wp:posOffset>
                </wp:positionV>
                <wp:extent cx="12700" cy="9334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0" cy="933450"/>
                        </a:xfrm>
                        <a:prstGeom prst="rect"/>
                        <a:ln/>
                      </pic:spPr>
                    </pic:pic>
                  </a:graphicData>
                </a:graphic>
              </wp:anchor>
            </w:drawing>
          </mc:Fallback>
        </mc:AlternateContent>
      </w:r>
    </w:p>
    <w:p w:rsidR="00000000" w:rsidDel="00000000" w:rsidP="00000000" w:rsidRDefault="00000000" w:rsidRPr="00000000" w14:paraId="0000001C">
      <w:pPr>
        <w:tabs>
          <w:tab w:val="left" w:pos="567"/>
        </w:tabs>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Assignments/Quizzes</w:t>
        <w:tab/>
        <w:tab/>
        <w:tab/>
        <w:t xml:space="preserve">80 </w:t>
        <w:tab/>
        <w:tab/>
        <w:t xml:space="preserve">Coursework</w:t>
        <w:tab/>
        <w:tab/>
        <w:tab/>
        <w:tab/>
        <w:t xml:space="preserve">65</w:t>
      </w:r>
    </w:p>
    <w:p w:rsidR="00000000" w:rsidDel="00000000" w:rsidP="00000000" w:rsidRDefault="00000000" w:rsidRPr="00000000" w14:paraId="0000001D">
      <w:pPr>
        <w:tabs>
          <w:tab w:val="left" w:pos="567"/>
        </w:tabs>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Projects</w:t>
        <w:tab/>
        <w:tab/>
        <w:tab/>
        <w:tab/>
        <w:t xml:space="preserve">30</w:t>
        <w:tab/>
        <w:tab/>
        <w:t xml:space="preserve">Community Service</w:t>
        <w:tab/>
        <w:tab/>
        <w:tab/>
        <w:t xml:space="preserve">10      </w:t>
      </w:r>
    </w:p>
    <w:p w:rsidR="00000000" w:rsidDel="00000000" w:rsidP="00000000" w:rsidRDefault="00000000" w:rsidRPr="00000000" w14:paraId="0000001E">
      <w:pPr>
        <w:tabs>
          <w:tab w:val="left" w:pos="567"/>
        </w:tabs>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Final Research Project</w:t>
        <w:tab/>
        <w:tab/>
        <w:t xml:space="preserve">25</w:t>
      </w:r>
    </w:p>
    <w:p w:rsidR="00000000" w:rsidDel="00000000" w:rsidP="00000000" w:rsidRDefault="00000000" w:rsidRPr="00000000" w14:paraId="0000001F">
      <w:pPr>
        <w:tabs>
          <w:tab w:val="left" w:pos="567"/>
        </w:tabs>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tabs>
          <w:tab w:val="left" w:pos="567"/>
        </w:tabs>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Theatre Antoin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spacing w:after="0" w:lineRule="auto"/>
      <w:ind w:left="20"/>
    </w:pPr>
    <w:rPr>
      <w:rFonts w:ascii="Theatre Antoine" w:cs="Theatre Antoine" w:eastAsia="Theatre Antoine" w:hAnsi="Theatre Antoine"/>
      <w:b w:val="1"/>
      <w:color w:val="000000"/>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hawnallison@gpcsd.ca" TargetMode="Externa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